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7CC7EDBB" w:rsidR="00473061" w:rsidRPr="00280D9C" w:rsidRDefault="00482D0D" w:rsidP="00482D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280D9C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CD1234" w:rsidRPr="00280D9C">
        <w:rPr>
          <w:rFonts w:ascii="Times New Roman" w:hAnsi="Times New Roman" w:cs="Times New Roman"/>
          <w:b/>
          <w:i/>
          <w:sz w:val="28"/>
          <w:szCs w:val="28"/>
          <w:lang w:val="kk-KZ"/>
        </w:rPr>
        <w:t>-қосымша</w:t>
      </w:r>
    </w:p>
    <w:p w14:paraId="2930D630" w14:textId="77777777" w:rsidR="00482D0D" w:rsidRDefault="00482D0D" w:rsidP="00482D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F5E32A2" w14:textId="4E4FEF82" w:rsidR="00F7469E" w:rsidRPr="00B72825" w:rsidRDefault="002C7487" w:rsidP="00A42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72825">
        <w:rPr>
          <w:rFonts w:ascii="Times New Roman" w:hAnsi="Times New Roman" w:cs="Times New Roman"/>
          <w:b/>
          <w:sz w:val="24"/>
          <w:szCs w:val="24"/>
        </w:rPr>
        <w:t xml:space="preserve">2025 </w:t>
      </w:r>
      <w:proofErr w:type="spellStart"/>
      <w:r w:rsidRPr="00B72825">
        <w:rPr>
          <w:rFonts w:ascii="Times New Roman" w:hAnsi="Times New Roman" w:cs="Times New Roman"/>
          <w:b/>
          <w:sz w:val="24"/>
          <w:szCs w:val="24"/>
        </w:rPr>
        <w:t>жыл</w:t>
      </w:r>
      <w:proofErr w:type="spellEnd"/>
      <w:r w:rsidRPr="00B728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ғы </w:t>
      </w:r>
      <w:r w:rsidR="00A42FC7" w:rsidRPr="00B72825">
        <w:rPr>
          <w:rFonts w:ascii="Times New Roman" w:hAnsi="Times New Roman" w:cs="Times New Roman"/>
          <w:b/>
          <w:sz w:val="24"/>
          <w:szCs w:val="24"/>
          <w:lang w:val="kk-KZ"/>
        </w:rPr>
        <w:t>шілде – тамыз</w:t>
      </w:r>
      <w:r w:rsidRPr="00B728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аралығында «Ашық НҚА»</w:t>
      </w:r>
      <w:r w:rsidR="00B05C90" w:rsidRPr="00B728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порталында орналастыруға</w:t>
      </w:r>
      <w:r w:rsidRPr="00B728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жоспарланған және резонанстық мәселені қамтымайтын НҚА жобаларының тізбесі </w:t>
      </w:r>
      <w:r w:rsidRPr="00B72825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="00B016AE" w:rsidRPr="00B72825">
        <w:rPr>
          <w:rFonts w:ascii="Times New Roman" w:hAnsi="Times New Roman" w:cs="Times New Roman"/>
          <w:i/>
          <w:sz w:val="24"/>
          <w:szCs w:val="24"/>
          <w:lang w:val="kk-KZ"/>
        </w:rPr>
        <w:t>23.10</w:t>
      </w:r>
      <w:r w:rsidRPr="00B72825">
        <w:rPr>
          <w:rFonts w:ascii="Times New Roman" w:hAnsi="Times New Roman" w:cs="Times New Roman"/>
          <w:i/>
          <w:sz w:val="24"/>
          <w:szCs w:val="24"/>
          <w:lang w:val="kk-KZ"/>
        </w:rPr>
        <w:t>.2025ж.)</w:t>
      </w:r>
    </w:p>
    <w:p w14:paraId="3E4F4B67" w14:textId="77777777" w:rsidR="00F7469E" w:rsidRPr="00B72825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55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5"/>
        <w:gridCol w:w="1843"/>
        <w:gridCol w:w="1560"/>
        <w:gridCol w:w="992"/>
        <w:gridCol w:w="1984"/>
        <w:gridCol w:w="1985"/>
        <w:gridCol w:w="2438"/>
        <w:gridCol w:w="1956"/>
        <w:gridCol w:w="2552"/>
      </w:tblGrid>
      <w:tr w:rsidR="00137C86" w:rsidRPr="00282458" w14:paraId="670EA0D8" w14:textId="6AECF79C" w:rsidTr="00280D9C">
        <w:tc>
          <w:tcPr>
            <w:tcW w:w="255" w:type="dxa"/>
            <w:vAlign w:val="center"/>
          </w:tcPr>
          <w:p w14:paraId="1466E05D" w14:textId="426FF899" w:rsidR="00137C86" w:rsidRPr="00044B2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843" w:type="dxa"/>
            <w:vAlign w:val="center"/>
          </w:tcPr>
          <w:p w14:paraId="49BA0702" w14:textId="3A23616A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 атауы</w:t>
            </w:r>
          </w:p>
        </w:tc>
        <w:tc>
          <w:tcPr>
            <w:tcW w:w="1560" w:type="dxa"/>
            <w:vAlign w:val="center"/>
          </w:tcPr>
          <w:p w14:paraId="43B4C48C" w14:textId="69E83E0B" w:rsidR="00137C86" w:rsidRPr="00044B27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992" w:type="dxa"/>
            <w:vAlign w:val="center"/>
          </w:tcPr>
          <w:p w14:paraId="00ABAC8D" w14:textId="6141C833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984" w:type="dxa"/>
            <w:vAlign w:val="center"/>
          </w:tcPr>
          <w:p w14:paraId="45CB0950" w14:textId="454D431E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985" w:type="dxa"/>
            <w:vAlign w:val="center"/>
          </w:tcPr>
          <w:p w14:paraId="78E066D5" w14:textId="6B3B747A" w:rsidR="00137C86" w:rsidRPr="00044B27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623A23E9" w:rsidR="00137C86" w:rsidRPr="00E9709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 w:rsidR="00E97096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438" w:type="dxa"/>
            <w:vAlign w:val="center"/>
          </w:tcPr>
          <w:p w14:paraId="050E86EC" w14:textId="4DE8EB5E" w:rsidR="00137C86" w:rsidRPr="00044B27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56" w:type="dxa"/>
            <w:vAlign w:val="center"/>
          </w:tcPr>
          <w:p w14:paraId="3657F2E9" w14:textId="3FF63296" w:rsidR="00137C86" w:rsidRPr="001A2C4C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552" w:type="dxa"/>
          </w:tcPr>
          <w:p w14:paraId="3A3BA5F2" w14:textId="01E7FFE6" w:rsidR="00DC2C92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3C50BA66" w14:textId="000BBC78" w:rsidR="00BC74A7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5D49F0CE" w14:textId="77777777" w:rsidR="00BC74A7" w:rsidRPr="00044B27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FE40F23" w14:textId="5E668AB0" w:rsidR="00137C86" w:rsidRPr="00FA0190" w:rsidRDefault="00FA0190" w:rsidP="00CE03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="00CE030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137C86" w:rsidRPr="00282458" w14:paraId="45582F88" w14:textId="0B25881C" w:rsidTr="00280D9C">
        <w:tc>
          <w:tcPr>
            <w:tcW w:w="255" w:type="dxa"/>
          </w:tcPr>
          <w:p w14:paraId="373D7442" w14:textId="65F230AE" w:rsidR="00137C86" w:rsidRPr="00044B2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</w:tcPr>
          <w:p w14:paraId="4BA1D022" w14:textId="1258BAFE" w:rsidR="00404887" w:rsidRPr="00AC3461" w:rsidRDefault="00404887" w:rsidP="0040488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048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««Деңгейлес мониторинг бойынша пилоттық жобаны жүргізу қағидаларын бекіту туралы»Қазақстан Республикасы Қаржы министрінің міндетін атқарушының 2020 жылғы 1 шілдедегі № 648 бұйрығына өзгерістер енгізу туралы» Қазақстан Республикасының Қаржы министрі бұйрығының жобасы.</w:t>
            </w:r>
          </w:p>
        </w:tc>
        <w:tc>
          <w:tcPr>
            <w:tcW w:w="1560" w:type="dxa"/>
          </w:tcPr>
          <w:p w14:paraId="6D70427D" w14:textId="77777777" w:rsidR="00E0718D" w:rsidRDefault="00E0718D" w:rsidP="00E0718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ҚР ҚМ Мемлекеттік кірістер комитеті</w:t>
            </w:r>
          </w:p>
          <w:p w14:paraId="06B3B9AA" w14:textId="77777777" w:rsidR="00E0718D" w:rsidRDefault="00E0718D" w:rsidP="00E0718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254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Ірі салық төлеушілер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департаменті</w:t>
            </w:r>
          </w:p>
          <w:p w14:paraId="37E652CD" w14:textId="77777777" w:rsidR="00E0718D" w:rsidRDefault="00E0718D" w:rsidP="00E0718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254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 мониторинг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басқармасы</w:t>
            </w:r>
          </w:p>
          <w:p w14:paraId="7F28D599" w14:textId="77777777" w:rsidR="00AC3461" w:rsidRPr="00AC3461" w:rsidRDefault="00E0718D" w:rsidP="00AC34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ас сарапшысы 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="00AC3461" w:rsidRPr="00AC34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Гасс Денис Олегович</w:t>
            </w:r>
          </w:p>
          <w:p w14:paraId="31D5E2F3" w14:textId="77777777" w:rsidR="00AC3461" w:rsidRPr="00257494" w:rsidRDefault="00E0718D" w:rsidP="00AC346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тел. </w:t>
            </w:r>
            <w:r w:rsidR="00AC34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87003713333</w:t>
            </w:r>
          </w:p>
          <w:p w14:paraId="5412FDA4" w14:textId="6CB689EB" w:rsidR="009E7B46" w:rsidRPr="00A42FC7" w:rsidRDefault="009E7B46" w:rsidP="00E0718D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992" w:type="dxa"/>
          </w:tcPr>
          <w:p w14:paraId="37DD17D8" w14:textId="77777777" w:rsidR="00CD1234" w:rsidRDefault="009E7B46" w:rsidP="00CD123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B78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2025ж.</w:t>
            </w:r>
            <w:r w:rsidR="00CD1234" w:rsidRPr="00CB78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14:paraId="6A7216E8" w14:textId="055F4F33" w:rsidR="00CD1234" w:rsidRPr="00CB7847" w:rsidRDefault="00AC3461" w:rsidP="00CD123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қазан</w:t>
            </w:r>
            <w:r w:rsidR="00CD1234" w:rsidRPr="00CB78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</w:t>
            </w:r>
          </w:p>
          <w:p w14:paraId="35E5C568" w14:textId="6700B1EA" w:rsidR="00CD1234" w:rsidRPr="00CB7847" w:rsidRDefault="00AC3461" w:rsidP="00CD123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қараша</w:t>
            </w:r>
          </w:p>
          <w:p w14:paraId="19BA7F1F" w14:textId="1E10F3C4" w:rsidR="009E7B46" w:rsidRPr="00A42FC7" w:rsidRDefault="009E7B46" w:rsidP="00CB7847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1984" w:type="dxa"/>
          </w:tcPr>
          <w:p w14:paraId="1FB2363F" w14:textId="6FD7A2A4" w:rsidR="00993C68" w:rsidRPr="00A42FC7" w:rsidRDefault="00E2745D" w:rsidP="00AC3461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E2745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Бұйрық жобасы деңгейлес мониторинг бойынша пилоттық жобаны жүргізу мерзімдерін ұзартуды, сондай-ақ оны жүргізу тәртібін оңтайландыру мен жеңілдетуді көздейді. Оның ішінде салық төлеушілердің тарихи деректерін зерделеу, трансферттік баға белгілеуді бақылау және деңгейлес мониторингтің жеңілдетілген режимін қолдану құқығына қатысты нормаларды алып тастау ұсынылады.</w:t>
            </w:r>
          </w:p>
        </w:tc>
        <w:tc>
          <w:tcPr>
            <w:tcW w:w="1985" w:type="dxa"/>
          </w:tcPr>
          <w:p w14:paraId="6AA804E3" w14:textId="77777777" w:rsidR="00404887" w:rsidRPr="00404887" w:rsidRDefault="00404887" w:rsidP="00E2745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048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Бұйрық жобасы «Салықтар және бюджетке төленетін басқа да міндетті төлемдер туралы» Қазақстан Республикасы Кодексінің (Салық кодексі) 68-бабының 1-1-тармағын іске асыру мақсатында әзірленді.</w:t>
            </w:r>
          </w:p>
          <w:p w14:paraId="1F861E3F" w14:textId="3B1DCA98" w:rsidR="00137C86" w:rsidRPr="00CA4B97" w:rsidRDefault="00137C86" w:rsidP="00E2745D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2438" w:type="dxa"/>
          </w:tcPr>
          <w:p w14:paraId="39155B8F" w14:textId="77777777" w:rsidR="00D01BC8" w:rsidRPr="00D01BC8" w:rsidRDefault="00D01BC8" w:rsidP="00D01BC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01BC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мақсаты</w:t>
            </w:r>
            <w:r w:rsidRPr="00D01BC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деңгейлес мониторингтен алдын ала жоба алдындағы жұмыста тарихи деректерді зерделеу рәсімін, трансферттік баға белгілеуді бақылауды, сондай-ақ ірі және орта кәсіпкерлік субъектілеріне жататын жер қойнауын пайдаланушылардың деңгейлес мониторингтің жеңілдетілген режимін қолдану құқығын алып тастау және пилоттық жобаны іске асыру мерзімдерін ұзарту болып табылады.</w:t>
            </w:r>
          </w:p>
          <w:p w14:paraId="03664183" w14:textId="77777777" w:rsidR="00D01BC8" w:rsidRPr="00D01BC8" w:rsidRDefault="00D01BC8" w:rsidP="00D01BC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483B59BD" w14:textId="04EBF9CA" w:rsidR="00924198" w:rsidRPr="00924198" w:rsidRDefault="00D01BC8" w:rsidP="00D01BC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01BC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</w:t>
            </w:r>
            <w:r w:rsidRPr="00D01BC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деңгейлес мониторинг бойынша пилоттық жобаны одан әрі жүргізуді қамтамасыз ету, сондай-ақ салық төлеушілердің тарихи деректерін зерделеу, трансферттік баға белгілеуді бақылау және деңгейлес мониторингтің жеңілдетілген режимін қолдану құқығына қатысты нормаларды алып тастау бөлігінде оны жүргізу тәртібін оңтайландыру мен жеңілдету болып табылады.</w:t>
            </w:r>
          </w:p>
        </w:tc>
        <w:tc>
          <w:tcPr>
            <w:tcW w:w="1956" w:type="dxa"/>
          </w:tcPr>
          <w:p w14:paraId="70674893" w14:textId="65F411C7" w:rsidR="00137C86" w:rsidRPr="006B5388" w:rsidRDefault="00D01BC8" w:rsidP="00D01BC8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D01BC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Бұйрық жобасы деңгейлес мониторинг бойынша пилоттық жобаны одан әрі іске асыру мақсатында, оны жүргізу тәртібін реттейтін құжат ретінде әзірленді,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</w:t>
            </w:r>
            <w:r w:rsidRPr="00D01BC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сыған байланысты әлеуметтік-экономикалық, құқықтық және өзге де жағымсыз салдарлар </w:t>
            </w:r>
            <w:r w:rsidRPr="00D01BC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болмайды</w:t>
            </w:r>
            <w:r w:rsidRPr="00D01BC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2552" w:type="dxa"/>
          </w:tcPr>
          <w:p w14:paraId="7CE2B893" w14:textId="5B296CAE" w:rsidR="00010AD9" w:rsidRDefault="0024294D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4294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Бар.</w:t>
            </w:r>
            <w:r w:rsidRPr="0024294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</w:r>
            <w:r w:rsidR="00D01BC8" w:rsidRPr="00D01BC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««Деңгейлес мониторинг бойынша пилоттық жобаны жүргізу қағидаларын бекіту туралы»Қазақстан Республикасы Қаржы министрінің міндетін атқарушының 2020 жылғы 1 шілдедегі № 648 бұйрығына өзгерістер енгізу туралы» Қазақстан Республикасының Қаржы министрі бұйрығының жобасы</w:t>
            </w:r>
            <w:r w:rsidR="00924198" w:rsidRPr="0092419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D1697F" w:rsidRPr="0092419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="00924198" w:rsidRPr="0092419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мониторинг бойынша пилоттық жобаны одан әрі іске асыруды, соның ішінде пилоттық жобаны жүзеге асыру мерзімдерін ұзартуды қамтамасыз ету мақсатында әзірленген.</w:t>
            </w:r>
          </w:p>
          <w:p w14:paraId="022DEBC3" w14:textId="77777777" w:rsidR="00D1697F" w:rsidRPr="00D1697F" w:rsidRDefault="00D1697F" w:rsidP="00D16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1697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Аталған бұйрық жобасын орналастыру мерзімі кейінге қалдырылған жағдайда, пилоттық жобаның қатысушылары болып табылатын салық төлеушілердің құқықтарының бұзылу тәуекелі туындайды. Бұл олардың пилоттық жобаға қатысуына байланысты туындайтын құқықтық коллизиямен байланысты.</w:t>
            </w:r>
          </w:p>
          <w:p w14:paraId="60943CB5" w14:textId="77777777" w:rsidR="00D1697F" w:rsidRDefault="00D1697F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39E35E35" w14:textId="20CFD7BD" w:rsidR="00D1697F" w:rsidRPr="00D1697F" w:rsidRDefault="00D1697F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14:paraId="76F1042F" w14:textId="149E060F" w:rsidR="00CD1234" w:rsidRDefault="00CD1234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CD1234" w:rsidSect="004D5010">
      <w:pgSz w:w="16838" w:h="11906" w:orient="landscape"/>
      <w:pgMar w:top="709" w:right="1103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10AD9"/>
    <w:rsid w:val="00026B86"/>
    <w:rsid w:val="00035297"/>
    <w:rsid w:val="0003783D"/>
    <w:rsid w:val="00044B27"/>
    <w:rsid w:val="00060D4D"/>
    <w:rsid w:val="00070436"/>
    <w:rsid w:val="000D37D2"/>
    <w:rsid w:val="000F30E1"/>
    <w:rsid w:val="000F6DA6"/>
    <w:rsid w:val="0011467A"/>
    <w:rsid w:val="0013512C"/>
    <w:rsid w:val="00137C86"/>
    <w:rsid w:val="00147ACF"/>
    <w:rsid w:val="00155BBC"/>
    <w:rsid w:val="001805AE"/>
    <w:rsid w:val="00183EFD"/>
    <w:rsid w:val="001879FF"/>
    <w:rsid w:val="001A2C4C"/>
    <w:rsid w:val="001A7004"/>
    <w:rsid w:val="001C06B5"/>
    <w:rsid w:val="001C3773"/>
    <w:rsid w:val="001C6932"/>
    <w:rsid w:val="001E3D63"/>
    <w:rsid w:val="001F415B"/>
    <w:rsid w:val="001F43F0"/>
    <w:rsid w:val="0024294D"/>
    <w:rsid w:val="002453BD"/>
    <w:rsid w:val="00276FA2"/>
    <w:rsid w:val="00280D9C"/>
    <w:rsid w:val="00282458"/>
    <w:rsid w:val="002847D2"/>
    <w:rsid w:val="002854EC"/>
    <w:rsid w:val="00286559"/>
    <w:rsid w:val="002869AF"/>
    <w:rsid w:val="00286BC3"/>
    <w:rsid w:val="002B1F19"/>
    <w:rsid w:val="002C7487"/>
    <w:rsid w:val="00324073"/>
    <w:rsid w:val="0034688B"/>
    <w:rsid w:val="003D4FB1"/>
    <w:rsid w:val="004017D0"/>
    <w:rsid w:val="00404887"/>
    <w:rsid w:val="004334E9"/>
    <w:rsid w:val="004716D7"/>
    <w:rsid w:val="00473061"/>
    <w:rsid w:val="004825D8"/>
    <w:rsid w:val="00482D0D"/>
    <w:rsid w:val="00485BD7"/>
    <w:rsid w:val="004B6E7D"/>
    <w:rsid w:val="004C0F23"/>
    <w:rsid w:val="004C16D3"/>
    <w:rsid w:val="004D5010"/>
    <w:rsid w:val="004E4A2E"/>
    <w:rsid w:val="00523D8A"/>
    <w:rsid w:val="005363F5"/>
    <w:rsid w:val="005452E4"/>
    <w:rsid w:val="00550F02"/>
    <w:rsid w:val="0055751C"/>
    <w:rsid w:val="00567A4F"/>
    <w:rsid w:val="00582036"/>
    <w:rsid w:val="005C09AE"/>
    <w:rsid w:val="005C3BF7"/>
    <w:rsid w:val="005C70F6"/>
    <w:rsid w:val="00612D06"/>
    <w:rsid w:val="00667209"/>
    <w:rsid w:val="006B5388"/>
    <w:rsid w:val="006D7A01"/>
    <w:rsid w:val="006E3749"/>
    <w:rsid w:val="00704B76"/>
    <w:rsid w:val="0072741B"/>
    <w:rsid w:val="00765989"/>
    <w:rsid w:val="007778DD"/>
    <w:rsid w:val="00782C6D"/>
    <w:rsid w:val="007A33D2"/>
    <w:rsid w:val="007C6272"/>
    <w:rsid w:val="007D0DA3"/>
    <w:rsid w:val="007D2CC5"/>
    <w:rsid w:val="007D4654"/>
    <w:rsid w:val="007E4FAB"/>
    <w:rsid w:val="007F0ADA"/>
    <w:rsid w:val="008063EC"/>
    <w:rsid w:val="00845588"/>
    <w:rsid w:val="00857028"/>
    <w:rsid w:val="00864EC8"/>
    <w:rsid w:val="008A2587"/>
    <w:rsid w:val="008A6F87"/>
    <w:rsid w:val="008D7D88"/>
    <w:rsid w:val="008E1B42"/>
    <w:rsid w:val="009006A4"/>
    <w:rsid w:val="00901923"/>
    <w:rsid w:val="00906985"/>
    <w:rsid w:val="00924198"/>
    <w:rsid w:val="00932161"/>
    <w:rsid w:val="009437AF"/>
    <w:rsid w:val="00993C68"/>
    <w:rsid w:val="009A530A"/>
    <w:rsid w:val="009B782E"/>
    <w:rsid w:val="009E58C7"/>
    <w:rsid w:val="009E7B46"/>
    <w:rsid w:val="00A42FC7"/>
    <w:rsid w:val="00A54555"/>
    <w:rsid w:val="00A80AEC"/>
    <w:rsid w:val="00A9631F"/>
    <w:rsid w:val="00AC3461"/>
    <w:rsid w:val="00AD0E31"/>
    <w:rsid w:val="00AD3058"/>
    <w:rsid w:val="00AD370F"/>
    <w:rsid w:val="00AD5739"/>
    <w:rsid w:val="00AE44BC"/>
    <w:rsid w:val="00AE7AA1"/>
    <w:rsid w:val="00B007AD"/>
    <w:rsid w:val="00B016AE"/>
    <w:rsid w:val="00B05C90"/>
    <w:rsid w:val="00B06D8B"/>
    <w:rsid w:val="00B16F4C"/>
    <w:rsid w:val="00B30365"/>
    <w:rsid w:val="00B364B0"/>
    <w:rsid w:val="00B40E7A"/>
    <w:rsid w:val="00B50F1D"/>
    <w:rsid w:val="00B72825"/>
    <w:rsid w:val="00B7357F"/>
    <w:rsid w:val="00B84B07"/>
    <w:rsid w:val="00BC74A7"/>
    <w:rsid w:val="00C2121A"/>
    <w:rsid w:val="00C70B2E"/>
    <w:rsid w:val="00CA4B97"/>
    <w:rsid w:val="00CB7847"/>
    <w:rsid w:val="00CC52E1"/>
    <w:rsid w:val="00CD1234"/>
    <w:rsid w:val="00CE0300"/>
    <w:rsid w:val="00D01437"/>
    <w:rsid w:val="00D01BC8"/>
    <w:rsid w:val="00D1697F"/>
    <w:rsid w:val="00D3051E"/>
    <w:rsid w:val="00D36713"/>
    <w:rsid w:val="00D42354"/>
    <w:rsid w:val="00D6508E"/>
    <w:rsid w:val="00D84B9E"/>
    <w:rsid w:val="00D94428"/>
    <w:rsid w:val="00DC2C92"/>
    <w:rsid w:val="00DD0CE7"/>
    <w:rsid w:val="00DF46C2"/>
    <w:rsid w:val="00E0718D"/>
    <w:rsid w:val="00E2745D"/>
    <w:rsid w:val="00E32717"/>
    <w:rsid w:val="00E37545"/>
    <w:rsid w:val="00E712A6"/>
    <w:rsid w:val="00E7139F"/>
    <w:rsid w:val="00E85846"/>
    <w:rsid w:val="00E937A9"/>
    <w:rsid w:val="00E97096"/>
    <w:rsid w:val="00EE2DCC"/>
    <w:rsid w:val="00F02768"/>
    <w:rsid w:val="00F22D6B"/>
    <w:rsid w:val="00F23768"/>
    <w:rsid w:val="00F33F7B"/>
    <w:rsid w:val="00F44F3D"/>
    <w:rsid w:val="00F54792"/>
    <w:rsid w:val="00F6027E"/>
    <w:rsid w:val="00F7469E"/>
    <w:rsid w:val="00F94608"/>
    <w:rsid w:val="00FA0190"/>
    <w:rsid w:val="00FD3293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10819602-47AB-45A3-9865-E55F43E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274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3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8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9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5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6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4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9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0EF1A-F2EE-48D6-971C-7CFE7B23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Денис Гасс Олегович</cp:lastModifiedBy>
  <cp:revision>8</cp:revision>
  <dcterms:created xsi:type="dcterms:W3CDTF">2025-10-28T06:59:00Z</dcterms:created>
  <dcterms:modified xsi:type="dcterms:W3CDTF">2025-11-03T09:55:00Z</dcterms:modified>
</cp:coreProperties>
</file>